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05C1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F6F8E">
        <w:rPr>
          <w:rFonts w:ascii="Times New Roman" w:hAnsi="Times New Roman" w:cs="Times New Roman"/>
          <w:sz w:val="24"/>
        </w:rPr>
        <w:t>7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BB466E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5F6F8E" w:rsidRPr="005F6F8E" w:rsidRDefault="005F6F8E" w:rsidP="005F6F8E">
      <w:pPr>
        <w:jc w:val="both"/>
        <w:rPr>
          <w:rFonts w:ascii="Times New Roman" w:hAnsi="Times New Roman" w:cs="Times New Roman"/>
        </w:rPr>
      </w:pPr>
      <w:r w:rsidRPr="005F6F8E">
        <w:rPr>
          <w:rFonts w:ascii="Times New Roman" w:hAnsi="Times New Roman" w:cs="Times New Roman"/>
        </w:rPr>
        <w:t>1.Обязать арбитражных управляющих заключить договор обязательного страхования ответственности, размер страховой суммы которого составляет 30 000 000 (тридцать миллионов) рублей в срок до 25 января 2019г.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2018-12-27T12:19:00Z</dcterms:created>
  <dcterms:modified xsi:type="dcterms:W3CDTF">2018-12-27T12:19:00Z</dcterms:modified>
</cp:coreProperties>
</file>